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40" w:lineRule="auto"/>
        <w:ind w:left="851" w:firstLine="0"/>
        <w:jc w:val="right"/>
        <w:rPr>
          <w:rFonts w:ascii="Montserrat Black" w:cs="Montserrat Black" w:eastAsia="Montserrat Black" w:hAnsi="Montserrat Black"/>
          <w:sz w:val="20"/>
          <w:szCs w:val="20"/>
        </w:rPr>
      </w:pPr>
      <w:r w:rsidDel="00000000" w:rsidR="00000000" w:rsidRPr="00000000">
        <w:rPr>
          <w:rFonts w:ascii="Montserrat Black" w:cs="Montserrat Black" w:eastAsia="Montserrat Black" w:hAnsi="Montserrat Black"/>
          <w:sz w:val="20"/>
          <w:szCs w:val="20"/>
          <w:rtl w:val="0"/>
        </w:rPr>
        <w:t xml:space="preserve">Coordinación de Ciencias Computacionales</w:t>
      </w:r>
    </w:p>
    <w:p w:rsidR="00000000" w:rsidDel="00000000" w:rsidP="00000000" w:rsidRDefault="00000000" w:rsidRPr="00000000" w14:paraId="00000002">
      <w:pPr>
        <w:spacing w:line="240" w:lineRule="auto"/>
        <w:ind w:left="851" w:firstLine="0"/>
        <w:jc w:val="right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ind w:left="851" w:firstLine="0"/>
        <w:jc w:val="right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sz w:val="20"/>
          <w:szCs w:val="20"/>
          <w:rtl w:val="0"/>
        </w:rPr>
        <w:t xml:space="preserve">Santa María Tonantzintla, Puebla, a 12 de febrero de 2024</w:t>
      </w:r>
    </w:p>
    <w:p w:rsidR="00000000" w:rsidDel="00000000" w:rsidP="00000000" w:rsidRDefault="00000000" w:rsidRPr="00000000" w14:paraId="00000004">
      <w:pPr>
        <w:spacing w:line="240" w:lineRule="auto"/>
        <w:ind w:left="0" w:firstLine="0"/>
        <w:jc w:val="left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ind w:left="851" w:firstLine="0"/>
        <w:rPr>
          <w:rFonts w:ascii="Montserrat Black" w:cs="Montserrat Black" w:eastAsia="Montserrat Black" w:hAnsi="Montserrat Black"/>
        </w:rPr>
      </w:pPr>
      <w:r w:rsidDel="00000000" w:rsidR="00000000" w:rsidRPr="00000000">
        <w:rPr>
          <w:rFonts w:ascii="Montserrat Black" w:cs="Montserrat Black" w:eastAsia="Montserrat Black" w:hAnsi="Montserrat Black"/>
          <w:rtl w:val="0"/>
        </w:rPr>
        <w:t xml:space="preserve">DR. EDMUNDO A. GUTIÉRREZ DOMÍNGUEZ</w:t>
      </w:r>
    </w:p>
    <w:p w:rsidR="00000000" w:rsidDel="00000000" w:rsidP="00000000" w:rsidRDefault="00000000" w:rsidRPr="00000000" w14:paraId="00000006">
      <w:pPr>
        <w:spacing w:line="240" w:lineRule="auto"/>
        <w:ind w:left="851" w:firstLine="0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DIRECTOR GENERAL</w:t>
      </w:r>
    </w:p>
    <w:p w:rsidR="00000000" w:rsidDel="00000000" w:rsidP="00000000" w:rsidRDefault="00000000" w:rsidRPr="00000000" w14:paraId="00000007">
      <w:pPr>
        <w:spacing w:line="240" w:lineRule="auto"/>
        <w:ind w:left="851" w:firstLine="0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INAOE</w:t>
      </w:r>
    </w:p>
    <w:p w:rsidR="00000000" w:rsidDel="00000000" w:rsidP="00000000" w:rsidRDefault="00000000" w:rsidRPr="00000000" w14:paraId="00000008">
      <w:pPr>
        <w:spacing w:line="240" w:lineRule="auto"/>
        <w:ind w:left="851" w:firstLine="0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PRESENTE</w:t>
      </w:r>
    </w:p>
    <w:p w:rsidR="00000000" w:rsidDel="00000000" w:rsidP="00000000" w:rsidRDefault="00000000" w:rsidRPr="00000000" w14:paraId="00000009">
      <w:pPr>
        <w:spacing w:line="240" w:lineRule="auto"/>
        <w:ind w:left="851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ind w:left="851" w:firstLine="0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Estimado Dr. Gutiérrez, </w:t>
      </w:r>
    </w:p>
    <w:p w:rsidR="00000000" w:rsidDel="00000000" w:rsidP="00000000" w:rsidRDefault="00000000" w:rsidRPr="00000000" w14:paraId="0000000B">
      <w:pPr>
        <w:spacing w:line="240" w:lineRule="auto"/>
        <w:ind w:left="851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ind w:left="851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Esperando que se encuentre bien, por este medio, las y los investigadores y trabajadores de la Coordinación de Ciencias Computacionales del INAOE se dirigen a usted para expresar nuestra inconformidad por la decisión que su administración tomó en cuanto al cambio de vigilancia que ocurrió el pasado 1 de febrero de 2024. </w:t>
      </w:r>
    </w:p>
    <w:p w:rsidR="00000000" w:rsidDel="00000000" w:rsidP="00000000" w:rsidRDefault="00000000" w:rsidRPr="00000000" w14:paraId="0000000D">
      <w:pPr>
        <w:spacing w:line="240" w:lineRule="auto"/>
        <w:ind w:left="851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ind w:left="851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El cambio repentino y con un anuncio de un día antes es desconcertante y no contribuye a generar un ambiente laboral en armonía. </w:t>
      </w:r>
      <w:r w:rsidDel="00000000" w:rsidR="00000000" w:rsidRPr="00000000">
        <w:rPr>
          <w:rFonts w:ascii="Montserrat" w:cs="Montserrat" w:eastAsia="Montserrat" w:hAnsi="Montserrat"/>
          <w:rtl w:val="0"/>
        </w:rPr>
        <w:t xml:space="preserve">Considerando el mensaje que Usted envió el pasado primero de febrero,  explicando a la comunidad sobre las razones de esta decisión, no es claro</w:t>
      </w:r>
      <w:r w:rsidDel="00000000" w:rsidR="00000000" w:rsidRPr="00000000">
        <w:rPr>
          <w:rFonts w:ascii="Montserrat" w:cs="Montserrat" w:eastAsia="Montserrat" w:hAnsi="Montserrat"/>
          <w:rtl w:val="0"/>
        </w:rPr>
        <w:t xml:space="preserve"> el porqué se cambió a todo el personal de vigilancia en lugar de remover únicamente a los probables elementos que pudieran estar incurriendo en alguna conducta inadecuada. </w:t>
      </w:r>
    </w:p>
    <w:p w:rsidR="00000000" w:rsidDel="00000000" w:rsidP="00000000" w:rsidRDefault="00000000" w:rsidRPr="00000000" w14:paraId="0000000F">
      <w:pPr>
        <w:spacing w:line="240" w:lineRule="auto"/>
        <w:ind w:left="851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40" w:lineRule="auto"/>
        <w:ind w:left="851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Por otra parte, la alta rotación de los vigilantes impedirá que se familiaricen con los miembros de la comunidad, resultando en un trato impersonal y distante que contradice la construcción de un </w:t>
      </w:r>
      <w:r w:rsidDel="00000000" w:rsidR="00000000" w:rsidRPr="00000000">
        <w:rPr>
          <w:rFonts w:ascii="Montserrat" w:cs="Montserrat" w:eastAsia="Montserrat" w:hAnsi="Montserrat"/>
          <w:rtl w:val="0"/>
        </w:rPr>
        <w:t xml:space="preserve">sentido de pertenencia institucional.</w:t>
      </w:r>
      <w:r w:rsidDel="00000000" w:rsidR="00000000" w:rsidRPr="00000000">
        <w:rPr>
          <w:rFonts w:ascii="Montserrat" w:cs="Montserrat" w:eastAsia="Montserrat" w:hAnsi="Montserrat"/>
          <w:rtl w:val="0"/>
        </w:rPr>
        <w:t xml:space="preserve"> </w:t>
      </w:r>
    </w:p>
    <w:p w:rsidR="00000000" w:rsidDel="00000000" w:rsidP="00000000" w:rsidRDefault="00000000" w:rsidRPr="00000000" w14:paraId="00000011">
      <w:pPr>
        <w:spacing w:line="240" w:lineRule="auto"/>
        <w:ind w:left="851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40" w:lineRule="auto"/>
        <w:ind w:left="851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Finalmente, consideramos que el uso de oficiales de la policía auxiliar es una medida desproporcionada para una institución académica donde la resolución de conflictos debería privilegiar la conciliación y el diálogo antes que una intervención policial que puede derivar inmediatamente en una acción punitiva legal por tratarse de miembros de una autoridad oficial gubernamental. </w:t>
      </w:r>
    </w:p>
    <w:p w:rsidR="00000000" w:rsidDel="00000000" w:rsidP="00000000" w:rsidRDefault="00000000" w:rsidRPr="00000000" w14:paraId="00000013">
      <w:pPr>
        <w:spacing w:line="240" w:lineRule="auto"/>
        <w:ind w:left="851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40" w:lineRule="auto"/>
        <w:ind w:left="851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De lo anterior, esperamos pueda encontrarse una solución intermedia. Por ejemplo, este personal policial podría cuidar los estacionamientos y los vigilantes trabajadores de INAOE, podrían mantenerse en la caseta principal. </w:t>
      </w:r>
    </w:p>
    <w:p w:rsidR="00000000" w:rsidDel="00000000" w:rsidP="00000000" w:rsidRDefault="00000000" w:rsidRPr="00000000" w14:paraId="00000015">
      <w:pPr>
        <w:spacing w:line="240" w:lineRule="auto"/>
        <w:ind w:left="851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40" w:lineRule="auto"/>
        <w:ind w:left="851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Esperando, tenga en cuenta nuestros comentarios y sin más por el momento, reciba un cordial saludo. </w:t>
      </w:r>
    </w:p>
    <w:p w:rsidR="00000000" w:rsidDel="00000000" w:rsidP="00000000" w:rsidRDefault="00000000" w:rsidRPr="00000000" w14:paraId="00000017">
      <w:pPr>
        <w:spacing w:line="240" w:lineRule="auto"/>
        <w:ind w:left="851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40" w:lineRule="auto"/>
        <w:ind w:left="851" w:firstLine="0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A T E N T A M E N T E</w:t>
      </w:r>
    </w:p>
    <w:p w:rsidR="00000000" w:rsidDel="00000000" w:rsidP="00000000" w:rsidRDefault="00000000" w:rsidRPr="00000000" w14:paraId="00000019">
      <w:pPr>
        <w:spacing w:line="240" w:lineRule="auto"/>
        <w:ind w:left="851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40" w:lineRule="auto"/>
        <w:ind w:left="851" w:firstLine="0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Investigadores y trabajadores de la Coordinación de Ciencias Computacionales</w:t>
      </w:r>
    </w:p>
    <w:p w:rsidR="00000000" w:rsidDel="00000000" w:rsidP="00000000" w:rsidRDefault="00000000" w:rsidRPr="00000000" w14:paraId="0000001B">
      <w:pPr>
        <w:spacing w:line="240" w:lineRule="auto"/>
        <w:ind w:left="851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40" w:lineRule="auto"/>
        <w:ind w:left="851" w:firstLine="0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525.0" w:type="dxa"/>
        <w:jc w:val="left"/>
        <w:tblInd w:w="851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6525"/>
        <w:gridCol w:w="3000"/>
        <w:tblGridChange w:id="0">
          <w:tblGrid>
            <w:gridCol w:w="6525"/>
            <w:gridCol w:w="3000"/>
          </w:tblGrid>
        </w:tblGridChange>
      </w:tblGrid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rtl w:val="0"/>
              </w:rPr>
              <w:t xml:space="preserve">Nombre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jc w:val="center"/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rtl w:val="0"/>
              </w:rPr>
              <w:t xml:space="preserve">Firma</w:t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1">
      <w:pPr>
        <w:spacing w:line="240" w:lineRule="auto"/>
        <w:ind w:left="851" w:firstLine="0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525.0" w:type="dxa"/>
        <w:jc w:val="left"/>
        <w:tblInd w:w="851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6525"/>
        <w:gridCol w:w="3000"/>
        <w:tblGridChange w:id="0">
          <w:tblGrid>
            <w:gridCol w:w="6525"/>
            <w:gridCol w:w="3000"/>
          </w:tblGrid>
        </w:tblGridChange>
      </w:tblGrid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rtl w:val="0"/>
              </w:rPr>
              <w:t xml:space="preserve">Nombre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jc w:val="center"/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rtl w:val="0"/>
              </w:rPr>
              <w:t xml:space="preserve">Firma</w:t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66.929133858267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widowControl w:val="0"/>
              <w:spacing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6">
      <w:pPr>
        <w:spacing w:line="240" w:lineRule="auto"/>
        <w:ind w:left="851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700.7874015748032" w:top="1700.7874015748032" w:left="1133.8582677165355" w:right="1133.8582677165355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mbria"/>
  <w:font w:name="Montserrat Black">
    <w:embedBold w:fontKey="{00000000-0000-0000-0000-000000000000}" r:id="rId1" w:subsetted="0"/>
    <w:embedBoldItalic w:fontKey="{00000000-0000-0000-0000-000000000000}" r:id="rId2" w:subsetted="0"/>
  </w:font>
  <w:font w:name="Montserrat">
    <w:embedRegular w:fontKey="{00000000-0000-0000-0000-000000000000}" r:id="rId3" w:subsetted="0"/>
    <w:embedBold w:fontKey="{00000000-0000-0000-0000-000000000000}" r:id="rId4" w:subsetted="0"/>
    <w:embedItalic w:fontKey="{00000000-0000-0000-0000-000000000000}" r:id="rId5" w:subsetted="0"/>
    <w:embedBoldItalic w:fontKey="{00000000-0000-0000-0000-000000000000}" r:id="rId6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Black-bold.ttf"/><Relationship Id="rId2" Type="http://schemas.openxmlformats.org/officeDocument/2006/relationships/font" Target="fonts/MontserratBlack-boldItalic.ttf"/><Relationship Id="rId3" Type="http://schemas.openxmlformats.org/officeDocument/2006/relationships/font" Target="fonts/Montserrat-regular.ttf"/><Relationship Id="rId4" Type="http://schemas.openxmlformats.org/officeDocument/2006/relationships/font" Target="fonts/Montserrat-bold.ttf"/><Relationship Id="rId5" Type="http://schemas.openxmlformats.org/officeDocument/2006/relationships/font" Target="fonts/Montserrat-italic.ttf"/><Relationship Id="rId6" Type="http://schemas.openxmlformats.org/officeDocument/2006/relationships/font" Target="fonts/Montserrat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